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268DBB8D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4213A6">
        <w:rPr>
          <w:rFonts w:cs="Arial"/>
          <w:sz w:val="24"/>
          <w:szCs w:val="24"/>
        </w:rPr>
        <w:t>1</w:t>
      </w:r>
      <w:r w:rsidRPr="00207615">
        <w:rPr>
          <w:rFonts w:cs="Arial"/>
          <w:sz w:val="24"/>
          <w:szCs w:val="24"/>
        </w:rPr>
        <w:tab/>
      </w:r>
      <w:r w:rsidR="002A29D1" w:rsidRPr="002A29D1">
        <w:rPr>
          <w:rFonts w:cs="Arial"/>
          <w:color w:val="000000"/>
          <w:sz w:val="24"/>
          <w:szCs w:val="24"/>
        </w:rPr>
        <w:t>R4-</w:t>
      </w:r>
      <w:r w:rsidR="006D2729">
        <w:rPr>
          <w:rFonts w:cs="Arial"/>
          <w:color w:val="000000"/>
          <w:sz w:val="24"/>
          <w:szCs w:val="24"/>
        </w:rPr>
        <w:t>240</w:t>
      </w:r>
      <w:r w:rsidR="00140147">
        <w:rPr>
          <w:rFonts w:cs="Arial"/>
          <w:color w:val="000000"/>
          <w:sz w:val="24"/>
          <w:szCs w:val="24"/>
        </w:rPr>
        <w:t>8040</w:t>
      </w:r>
    </w:p>
    <w:p w14:paraId="09BB34F6" w14:textId="042DA494" w:rsidR="00CE2F76" w:rsidRPr="00CE2F76" w:rsidRDefault="004213A6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Fukuoka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Japan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May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20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 – </w:t>
      </w:r>
      <w:r>
        <w:rPr>
          <w:rFonts w:eastAsia="SimSun"/>
          <w:sz w:val="24"/>
          <w:szCs w:val="24"/>
          <w:lang w:val="en-GB" w:eastAsia="zh-CN"/>
        </w:rPr>
        <w:t>24</w:t>
      </w:r>
      <w:r w:rsidR="009131B3" w:rsidRPr="009131B3">
        <w:rPr>
          <w:rFonts w:eastAsia="SimSun"/>
          <w:sz w:val="24"/>
          <w:szCs w:val="24"/>
          <w:lang w:val="en-GB" w:eastAsia="zh-CN"/>
        </w:rPr>
        <w:t>, 202</w:t>
      </w:r>
      <w:r w:rsidR="00B24945"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192380AF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76160">
        <w:rPr>
          <w:rFonts w:ascii="Arial" w:hAnsi="Arial"/>
          <w:sz w:val="24"/>
          <w:lang w:val="en-US"/>
        </w:rPr>
        <w:t>10</w:t>
      </w:r>
      <w:r w:rsidR="004C1A4F">
        <w:rPr>
          <w:rFonts w:ascii="Arial" w:hAnsi="Arial"/>
          <w:sz w:val="24"/>
          <w:lang w:val="en-US"/>
        </w:rPr>
        <w:t>.</w:t>
      </w:r>
      <w:r w:rsidR="00AF7D6F">
        <w:rPr>
          <w:rFonts w:ascii="Arial" w:hAnsi="Arial"/>
          <w:sz w:val="24"/>
          <w:lang w:val="en-US"/>
        </w:rPr>
        <w:t>14</w:t>
      </w:r>
      <w:r w:rsidR="00BC1D67">
        <w:rPr>
          <w:rFonts w:ascii="Arial" w:hAnsi="Arial"/>
          <w:sz w:val="24"/>
          <w:lang w:val="en-US"/>
        </w:rPr>
        <w:t>.</w:t>
      </w:r>
      <w:r w:rsidR="00430C0B">
        <w:rPr>
          <w:rFonts w:ascii="Arial" w:hAnsi="Arial"/>
          <w:sz w:val="24"/>
          <w:lang w:val="en-US"/>
        </w:rPr>
        <w:t>4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D6008F8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>RRM core requirements for LP-WUS/WUR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DB76EEB" w14:textId="31BEB9E6" w:rsidR="00D32623" w:rsidRDefault="009B2DFB" w:rsidP="00D32623">
      <w:r>
        <w:t>For release 19</w:t>
      </w:r>
      <w:r w:rsidR="00D32623">
        <w:t xml:space="preserve">, a new work item </w:t>
      </w:r>
      <w:r>
        <w:t>on</w:t>
      </w:r>
      <w:r w:rsidR="00D32623">
        <w:t xml:space="preserve"> low-power wakeup signal (WUS) and wakeup receiver (WUR) for NR </w:t>
      </w:r>
      <w:r w:rsidR="00646419">
        <w:t xml:space="preserve">has been agreed </w:t>
      </w:r>
      <w:r w:rsidR="00D32623">
        <w:t xml:space="preserve">with the </w:t>
      </w:r>
      <w:r w:rsidR="00646419">
        <w:t xml:space="preserve">following </w:t>
      </w:r>
      <w:r w:rsidR="00D32623">
        <w:t>objectives</w:t>
      </w:r>
      <w:r w:rsidR="00714A4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32623" w14:paraId="6CCD01D8" w14:textId="77777777" w:rsidTr="00541A82">
        <w:tc>
          <w:tcPr>
            <w:tcW w:w="9621" w:type="dxa"/>
          </w:tcPr>
          <w:p w14:paraId="35E71110" w14:textId="77777777" w:rsidR="00040419" w:rsidRPr="00300E45" w:rsidRDefault="00040419" w:rsidP="00040419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7C866109" w14:textId="77777777" w:rsidR="00040419" w:rsidRPr="00300E45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4A458863" w14:textId="77777777" w:rsidR="00040419" w:rsidRPr="00860D3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688E0A04" w14:textId="77777777" w:rsidR="00040419" w:rsidRPr="00886B2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2C23234E" w14:textId="77777777" w:rsidR="00040419" w:rsidRPr="00886B23" w:rsidRDefault="00040419" w:rsidP="00040419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5B0E37BC" w14:textId="77777777" w:rsidR="00040419" w:rsidRPr="00860D3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4B7CFD50" w14:textId="77777777" w:rsidR="00040419" w:rsidRPr="00860D3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 w14:paraId="150ED3FC" w14:textId="77777777" w:rsidR="00040419" w:rsidRPr="00886B2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4E72FED" w14:textId="77777777" w:rsidR="00040419" w:rsidRPr="00886B2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64269EF1" w14:textId="77777777" w:rsidR="00040419" w:rsidRPr="00886B2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38AC6987" w14:textId="77777777" w:rsidR="00040419" w:rsidRPr="00886B2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4959420D" w14:textId="77777777" w:rsidR="00040419" w:rsidRPr="00886B23" w:rsidRDefault="00040419" w:rsidP="00040419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047B6AE" w14:textId="77777777" w:rsidR="00040419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5A37EF66" w14:textId="77777777" w:rsidR="00040419" w:rsidRPr="00886B2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2EE8131E" w14:textId="77777777" w:rsidR="00040419" w:rsidRPr="00886B23" w:rsidRDefault="00040419" w:rsidP="00040419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8323FD1" w14:textId="77777777" w:rsidR="00040419" w:rsidRPr="00860D33" w:rsidRDefault="00040419" w:rsidP="00040419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p w14:paraId="5AC6E734" w14:textId="77777777" w:rsidR="00040419" w:rsidRPr="00860D33" w:rsidRDefault="00040419" w:rsidP="000404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1BA08B29" w14:textId="77777777" w:rsidR="00040419" w:rsidRDefault="00040419" w:rsidP="00040419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bookmarkStart w:id="0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0"/>
            <w:r>
              <w:rPr>
                <w:bCs/>
                <w:lang w:val="en-US"/>
              </w:rPr>
              <w:t>low-power wake-up receiver performance</w:t>
            </w:r>
          </w:p>
          <w:p w14:paraId="7907727E" w14:textId="77777777" w:rsidR="00040419" w:rsidRDefault="00040419" w:rsidP="0004041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>guard RBs for ACS and ASCS cases</w:t>
            </w:r>
          </w:p>
          <w:p w14:paraId="2DC03A5E" w14:textId="77777777" w:rsidR="00040419" w:rsidRDefault="00040419" w:rsidP="0004041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428C05E2" w14:textId="77777777" w:rsidR="00040419" w:rsidRPr="00194611" w:rsidRDefault="00040419" w:rsidP="0004041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>and set requirements that enable all types of reasonable implementation</w:t>
            </w:r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10CA91DC" w14:textId="77777777" w:rsidR="00040419" w:rsidRPr="00576F41" w:rsidRDefault="00040419" w:rsidP="00040419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necessary</w:t>
            </w:r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51DBBA13" w14:textId="77777777" w:rsidR="001B06DA" w:rsidRPr="001B06DA" w:rsidRDefault="00040419" w:rsidP="001B06D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>urrent NR BS requirements is baseline</w:t>
            </w:r>
          </w:p>
          <w:p w14:paraId="5611328C" w14:textId="68BA65AE" w:rsidR="00D32623" w:rsidRPr="001B06DA" w:rsidRDefault="00040419" w:rsidP="001B06D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 w:rsidRPr="001B06DA">
              <w:rPr>
                <w:bCs/>
              </w:rPr>
              <w:t>Specify necessary RRM requirements</w:t>
            </w:r>
          </w:p>
        </w:tc>
      </w:tr>
    </w:tbl>
    <w:p w14:paraId="0FCCA545" w14:textId="77777777" w:rsidR="00D32623" w:rsidRDefault="00D32623" w:rsidP="00D32623">
      <w:r>
        <w:lastRenderedPageBreak/>
        <w:t xml:space="preserve"> </w:t>
      </w:r>
    </w:p>
    <w:p w14:paraId="1EC417C9" w14:textId="4931A749" w:rsidR="004662A5" w:rsidRPr="00A22F4F" w:rsidRDefault="002F276B" w:rsidP="00360F01">
      <w:r>
        <w:rPr>
          <w:lang w:eastAsia="ja-JP"/>
        </w:rPr>
        <w:t>During RAN4#110bis meeting, few initial agreements</w:t>
      </w:r>
      <w:r w:rsidR="001752C8">
        <w:rPr>
          <w:lang w:eastAsia="ja-JP"/>
        </w:rPr>
        <w:t xml:space="preserve"> [2]</w:t>
      </w:r>
      <w:r>
        <w:rPr>
          <w:lang w:eastAsia="ja-JP"/>
        </w:rPr>
        <w:t xml:space="preserve"> were </w:t>
      </w:r>
      <w:r w:rsidR="001752C8">
        <w:rPr>
          <w:lang w:eastAsia="ja-JP"/>
        </w:rPr>
        <w:t xml:space="preserve">reached on the scope of the RRM requirements. </w:t>
      </w:r>
      <w:r w:rsidR="00714A44">
        <w:rPr>
          <w:lang w:eastAsia="ja-JP"/>
        </w:rPr>
        <w:t xml:space="preserve">In this paper, we </w:t>
      </w:r>
      <w:r w:rsidR="00A30045">
        <w:rPr>
          <w:lang w:eastAsia="ja-JP"/>
        </w:rPr>
        <w:t xml:space="preserve">further </w:t>
      </w:r>
      <w:r w:rsidR="00714A44">
        <w:rPr>
          <w:lang w:eastAsia="ja-JP"/>
        </w:rPr>
        <w:t xml:space="preserve">discuss </w:t>
      </w:r>
      <w:r w:rsidR="00D82992">
        <w:rPr>
          <w:lang w:eastAsia="ja-JP"/>
        </w:rPr>
        <w:t>some aspects to be considered for</w:t>
      </w:r>
      <w:r w:rsidR="00A30045">
        <w:rPr>
          <w:lang w:eastAsia="ja-JP"/>
        </w:rPr>
        <w:t xml:space="preserve"> </w:t>
      </w:r>
      <w:r w:rsidR="00D82992">
        <w:rPr>
          <w:lang w:eastAsia="ja-JP"/>
        </w:rPr>
        <w:t>RRM core requirements</w:t>
      </w:r>
      <w:r w:rsidR="00597EAA">
        <w:rPr>
          <w:lang w:eastAsia="ja-JP"/>
        </w:rPr>
        <w:t>.</w:t>
      </w:r>
    </w:p>
    <w:p w14:paraId="246B5C51" w14:textId="2E48E94F" w:rsidR="00FB56A4" w:rsidRDefault="008D2762" w:rsidP="00360F01">
      <w:pPr>
        <w:pStyle w:val="Heading1"/>
        <w:rPr>
          <w:lang w:eastAsia="zh-CN"/>
        </w:rPr>
      </w:pPr>
      <w:r w:rsidRPr="00CB7E21">
        <w:t xml:space="preserve">RRM </w:t>
      </w:r>
      <w:r w:rsidR="00597EAA">
        <w:t xml:space="preserve">requirements for </w:t>
      </w:r>
      <w:r w:rsidRPr="00CB7E21">
        <w:t>LP-WUR</w:t>
      </w:r>
      <w:r w:rsidR="00C46B69">
        <w:t xml:space="preserve"> in IDLE/INACTIVE</w:t>
      </w:r>
    </w:p>
    <w:p w14:paraId="21D0141D" w14:textId="7E22FBCC" w:rsidR="00A27227" w:rsidRDefault="00A27227" w:rsidP="00426F27">
      <w:pPr>
        <w:rPr>
          <w:bCs/>
          <w:color w:val="000000" w:themeColor="text1"/>
        </w:rPr>
      </w:pPr>
      <w:r>
        <w:rPr>
          <w:bCs/>
          <w:color w:val="000000" w:themeColor="text1"/>
        </w:rPr>
        <w:t>In our understanding, RAN</w:t>
      </w:r>
      <w:r w:rsidR="009F5F77">
        <w:rPr>
          <w:bCs/>
          <w:color w:val="000000" w:themeColor="text1"/>
        </w:rPr>
        <w:t>1/</w:t>
      </w:r>
      <w:r>
        <w:rPr>
          <w:bCs/>
          <w:color w:val="000000" w:themeColor="text1"/>
        </w:rPr>
        <w:t xml:space="preserve">2 will work on </w:t>
      </w:r>
      <w:r w:rsidR="001A5C48">
        <w:rPr>
          <w:bCs/>
          <w:color w:val="000000" w:themeColor="text1"/>
        </w:rPr>
        <w:t xml:space="preserve">defining the entry/exit </w:t>
      </w:r>
      <w:r w:rsidR="003A0A3D">
        <w:rPr>
          <w:bCs/>
          <w:color w:val="000000" w:themeColor="text1"/>
        </w:rPr>
        <w:t>criteria</w:t>
      </w:r>
      <w:r w:rsidR="001A5C48">
        <w:rPr>
          <w:bCs/>
          <w:color w:val="000000" w:themeColor="text1"/>
        </w:rPr>
        <w:t xml:space="preserve"> for LP-WUS monitoring as well as</w:t>
      </w:r>
      <w:r w:rsidR="008E1302">
        <w:rPr>
          <w:bCs/>
          <w:color w:val="000000" w:themeColor="text1"/>
        </w:rPr>
        <w:t xml:space="preserve"> conditions under which RRM relaxations and/or RRM measurement offloading can be performed</w:t>
      </w:r>
      <w:r w:rsidR="00E3441C">
        <w:rPr>
          <w:bCs/>
          <w:color w:val="000000" w:themeColor="text1"/>
        </w:rPr>
        <w:t xml:space="preserve"> while RAN4 will work on specifying the </w:t>
      </w:r>
      <w:r w:rsidR="00B7758E">
        <w:rPr>
          <w:bCs/>
          <w:color w:val="000000" w:themeColor="text1"/>
        </w:rPr>
        <w:t>UE</w:t>
      </w:r>
      <w:r w:rsidR="00E3441C">
        <w:rPr>
          <w:bCs/>
          <w:color w:val="000000" w:themeColor="text1"/>
        </w:rPr>
        <w:t xml:space="preserve"> requirements</w:t>
      </w:r>
      <w:r w:rsidR="00F367AA">
        <w:rPr>
          <w:bCs/>
          <w:color w:val="000000" w:themeColor="text1"/>
        </w:rPr>
        <w:t>.</w:t>
      </w:r>
      <w:r w:rsidR="003A0A3D">
        <w:rPr>
          <w:bCs/>
          <w:color w:val="000000" w:themeColor="text1"/>
        </w:rPr>
        <w:t xml:space="preserve"> </w:t>
      </w:r>
      <w:r w:rsidR="0034005D">
        <w:rPr>
          <w:bCs/>
          <w:color w:val="000000" w:themeColor="text1"/>
        </w:rPr>
        <w:t>Based on the current discussion in RAN</w:t>
      </w:r>
      <w:r w:rsidR="009F5F77">
        <w:rPr>
          <w:bCs/>
          <w:color w:val="000000" w:themeColor="text1"/>
        </w:rPr>
        <w:t xml:space="preserve">1/RAN2, it can be assumed that the criteria </w:t>
      </w:r>
      <w:r w:rsidR="00F42A98">
        <w:rPr>
          <w:bCs/>
          <w:color w:val="000000" w:themeColor="text1"/>
        </w:rPr>
        <w:t>will be, in some sense, a measurement quantity</w:t>
      </w:r>
      <w:r w:rsidR="005E1E91">
        <w:rPr>
          <w:bCs/>
          <w:color w:val="000000" w:themeColor="text1"/>
        </w:rPr>
        <w:t>/metric</w:t>
      </w:r>
      <w:r w:rsidR="00F42A98">
        <w:rPr>
          <w:bCs/>
          <w:color w:val="000000" w:themeColor="text1"/>
        </w:rPr>
        <w:t xml:space="preserve"> </w:t>
      </w:r>
      <w:r w:rsidR="00E40D90">
        <w:rPr>
          <w:bCs/>
          <w:color w:val="000000" w:themeColor="text1"/>
        </w:rPr>
        <w:t>meeting</w:t>
      </w:r>
      <w:r w:rsidR="00F42A98">
        <w:rPr>
          <w:bCs/>
          <w:color w:val="000000" w:themeColor="text1"/>
        </w:rPr>
        <w:t xml:space="preserve"> a specified threshold.</w:t>
      </w:r>
      <w:r w:rsidR="00EF7A9F">
        <w:rPr>
          <w:bCs/>
          <w:color w:val="000000" w:themeColor="text1"/>
        </w:rPr>
        <w:t xml:space="preserve"> The threshold will most likely be implicitly/expli</w:t>
      </w:r>
      <w:r w:rsidR="00B7758E">
        <w:rPr>
          <w:bCs/>
          <w:color w:val="000000" w:themeColor="text1"/>
        </w:rPr>
        <w:t xml:space="preserve">citly </w:t>
      </w:r>
      <w:r w:rsidR="00EF7A9F">
        <w:rPr>
          <w:bCs/>
          <w:color w:val="000000" w:themeColor="text1"/>
        </w:rPr>
        <w:t>signalled by the network</w:t>
      </w:r>
      <w:r w:rsidR="00B7758E">
        <w:rPr>
          <w:bCs/>
          <w:color w:val="000000" w:themeColor="text1"/>
        </w:rPr>
        <w:t xml:space="preserve">. </w:t>
      </w:r>
      <w:r w:rsidR="00F42A98">
        <w:rPr>
          <w:bCs/>
          <w:color w:val="000000" w:themeColor="text1"/>
        </w:rPr>
        <w:t xml:space="preserve"> It’s further being discussed whether the </w:t>
      </w:r>
      <w:r w:rsidR="00DA2B0F">
        <w:rPr>
          <w:bCs/>
          <w:color w:val="000000" w:themeColor="text1"/>
        </w:rPr>
        <w:t xml:space="preserve">entry/exit criteria </w:t>
      </w:r>
      <w:r w:rsidR="002171D0">
        <w:rPr>
          <w:bCs/>
          <w:color w:val="000000" w:themeColor="text1"/>
        </w:rPr>
        <w:t>are</w:t>
      </w:r>
      <w:r w:rsidR="00DA2B0F">
        <w:rPr>
          <w:bCs/>
          <w:color w:val="000000" w:themeColor="text1"/>
        </w:rPr>
        <w:t xml:space="preserve"> evaluated by the WUR or MR. </w:t>
      </w:r>
      <w:r w:rsidR="002171D0">
        <w:rPr>
          <w:bCs/>
          <w:color w:val="000000" w:themeColor="text1"/>
        </w:rPr>
        <w:t xml:space="preserve">In either case, </w:t>
      </w:r>
      <w:r w:rsidR="00BB448A">
        <w:rPr>
          <w:bCs/>
          <w:color w:val="000000" w:themeColor="text1"/>
        </w:rPr>
        <w:t>RAN4 needs to determine:</w:t>
      </w:r>
    </w:p>
    <w:p w14:paraId="59F46EE5" w14:textId="6C656394" w:rsidR="00BB448A" w:rsidRPr="00F276DF" w:rsidRDefault="00384F3E" w:rsidP="00BB448A">
      <w:pPr>
        <w:pStyle w:val="ListParagraph"/>
        <w:numPr>
          <w:ilvl w:val="0"/>
          <w:numId w:val="17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F276DF">
        <w:rPr>
          <w:rFonts w:eastAsia="MS Mincho"/>
          <w:bCs/>
          <w:color w:val="000000" w:themeColor="text1"/>
          <w:sz w:val="20"/>
          <w:szCs w:val="20"/>
          <w:lang w:val="en-GB"/>
        </w:rPr>
        <w:t>The number of measurement samples needed for filtering</w:t>
      </w:r>
      <w:r w:rsidR="00F276DF">
        <w:rPr>
          <w:rFonts w:eastAsia="MS Mincho"/>
          <w:bCs/>
          <w:color w:val="000000" w:themeColor="text1"/>
          <w:sz w:val="20"/>
          <w:szCs w:val="20"/>
          <w:lang w:val="en-GB"/>
        </w:rPr>
        <w:t>.</w:t>
      </w:r>
    </w:p>
    <w:p w14:paraId="3844C3C5" w14:textId="6598D09A" w:rsidR="00384F3E" w:rsidRPr="00F276DF" w:rsidRDefault="00384F3E" w:rsidP="00BB448A">
      <w:pPr>
        <w:pStyle w:val="ListParagraph"/>
        <w:numPr>
          <w:ilvl w:val="0"/>
          <w:numId w:val="17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F276DF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The number of </w:t>
      </w:r>
      <w:r w:rsidR="00F276DF" w:rsidRPr="00F276DF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consecutive </w:t>
      </w:r>
      <w:r w:rsidRPr="00F276DF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times the UE needs to meet the </w:t>
      </w:r>
      <w:r w:rsidR="009C713D" w:rsidRPr="00F276DF">
        <w:rPr>
          <w:rFonts w:eastAsia="MS Mincho"/>
          <w:bCs/>
          <w:color w:val="000000" w:themeColor="text1"/>
          <w:sz w:val="20"/>
          <w:szCs w:val="20"/>
          <w:lang w:val="en-GB"/>
        </w:rPr>
        <w:t>entry/exit criteria</w:t>
      </w:r>
      <w:r w:rsidR="00F276DF" w:rsidRPr="00F276DF">
        <w:rPr>
          <w:rFonts w:eastAsia="MS Mincho"/>
          <w:bCs/>
          <w:color w:val="000000" w:themeColor="text1"/>
          <w:sz w:val="20"/>
          <w:szCs w:val="20"/>
          <w:lang w:val="en-GB"/>
        </w:rPr>
        <w:t>.</w:t>
      </w:r>
    </w:p>
    <w:p w14:paraId="141C4C3F" w14:textId="77777777" w:rsidR="00F276DF" w:rsidRDefault="00F276DF" w:rsidP="00F276DF">
      <w:pPr>
        <w:rPr>
          <w:bCs/>
          <w:color w:val="000000" w:themeColor="text1"/>
        </w:rPr>
      </w:pPr>
    </w:p>
    <w:p w14:paraId="2575069E" w14:textId="14F5FCDA" w:rsidR="00C758E0" w:rsidRDefault="00033651" w:rsidP="00F276DF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Current SSB based measurement requirements for the MR </w:t>
      </w:r>
      <w:r w:rsidR="00D935E9">
        <w:rPr>
          <w:bCs/>
          <w:color w:val="000000" w:themeColor="text1"/>
        </w:rPr>
        <w:t xml:space="preserve">specify </w:t>
      </w:r>
      <w:r w:rsidR="002611C7" w:rsidRPr="00043DFE">
        <w:rPr>
          <w:rFonts w:cs="v4.2.0"/>
        </w:rPr>
        <w:t>filter</w:t>
      </w:r>
      <w:r w:rsidR="002611C7">
        <w:rPr>
          <w:rFonts w:cs="v4.2.0"/>
        </w:rPr>
        <w:t>ing</w:t>
      </w:r>
      <w:r w:rsidR="002611C7" w:rsidRPr="00043DFE">
        <w:rPr>
          <w:rFonts w:cs="v4.2.0"/>
        </w:rPr>
        <w:t xml:space="preserve"> the </w:t>
      </w:r>
      <w:r w:rsidR="002611C7" w:rsidRPr="00043DFE">
        <w:rPr>
          <w:rFonts w:cs="v4.2.0"/>
          <w:lang w:eastAsia="zh-CN"/>
        </w:rPr>
        <w:t>SS-</w:t>
      </w:r>
      <w:r w:rsidR="002611C7" w:rsidRPr="00043DFE">
        <w:rPr>
          <w:rFonts w:cs="v4.2.0"/>
        </w:rPr>
        <w:t xml:space="preserve">RSRP and </w:t>
      </w:r>
      <w:r w:rsidR="002611C7" w:rsidRPr="00043DFE">
        <w:rPr>
          <w:rFonts w:cs="v4.2.0"/>
          <w:lang w:eastAsia="zh-CN"/>
        </w:rPr>
        <w:t>SS-</w:t>
      </w:r>
      <w:r w:rsidR="002611C7" w:rsidRPr="00043DFE">
        <w:rPr>
          <w:rFonts w:cs="v4.2.0"/>
        </w:rPr>
        <w:t>RSRQ measurements of the serving cell using at least 2 measurements</w:t>
      </w:r>
      <w:r w:rsidR="003B72C7">
        <w:rPr>
          <w:rFonts w:cs="v4.2.0"/>
        </w:rPr>
        <w:t xml:space="preserve"> and Nserv</w:t>
      </w:r>
      <w:r w:rsidR="0094641F">
        <w:rPr>
          <w:rFonts w:cs="v4.2.0"/>
        </w:rPr>
        <w:t xml:space="preserve"> number</w:t>
      </w:r>
      <w:r w:rsidR="00F7188E">
        <w:rPr>
          <w:rFonts w:cs="v4.2.0"/>
        </w:rPr>
        <w:t xml:space="preserve"> of</w:t>
      </w:r>
      <w:r w:rsidR="0094641F">
        <w:rPr>
          <w:rFonts w:cs="v4.2.0"/>
        </w:rPr>
        <w:t xml:space="preserve"> consecutive serving cell evaluations are used to </w:t>
      </w:r>
      <w:r w:rsidR="000867A3">
        <w:rPr>
          <w:rFonts w:cs="v4.2.0"/>
        </w:rPr>
        <w:t>prepare for possible cell re-selection. RAN4 can define similar</w:t>
      </w:r>
      <w:r w:rsidR="00DB73E6">
        <w:rPr>
          <w:rFonts w:cs="v4.2.0"/>
        </w:rPr>
        <w:t xml:space="preserve"> procedure for entry/exit criteria evaluation as well. For instance, UE starts monitoring PO on the WUR when the entry criteria is met X consecutive times and UE stops monitoring PO on the WUR when the exit criteria is met</w:t>
      </w:r>
      <w:r w:rsidR="00791881">
        <w:rPr>
          <w:rFonts w:cs="v4.2.0"/>
        </w:rPr>
        <w:t xml:space="preserve"> Y consecutive times. This ensures that a sudden rise/drop in the measurement quantities do</w:t>
      </w:r>
      <w:r w:rsidR="009E17F3">
        <w:rPr>
          <w:rFonts w:cs="v4.2.0"/>
        </w:rPr>
        <w:t>esn’t trigger the WUR entry/exit.</w:t>
      </w:r>
    </w:p>
    <w:p w14:paraId="5DA42943" w14:textId="3974E345" w:rsidR="00F276DF" w:rsidRPr="00DA4581" w:rsidRDefault="006B7A8A" w:rsidP="00F276DF">
      <w:pPr>
        <w:rPr>
          <w:b/>
          <w:color w:val="000000" w:themeColor="text1"/>
        </w:rPr>
      </w:pPr>
      <w:r w:rsidRPr="00DA4581">
        <w:rPr>
          <w:b/>
          <w:color w:val="000000" w:themeColor="text1"/>
        </w:rPr>
        <w:t xml:space="preserve">Proposal 1: RAN4 </w:t>
      </w:r>
      <w:r w:rsidR="00DA4581" w:rsidRPr="00DA4581">
        <w:rPr>
          <w:b/>
          <w:color w:val="000000" w:themeColor="text1"/>
        </w:rPr>
        <w:t>specifies the following for entry/exit criteria evaluation</w:t>
      </w:r>
      <w:r w:rsidR="00926FE4">
        <w:rPr>
          <w:b/>
          <w:color w:val="000000" w:themeColor="text1"/>
        </w:rPr>
        <w:t xml:space="preserve"> for WUS paging monitoring</w:t>
      </w:r>
      <w:r w:rsidR="00DA4581" w:rsidRPr="00DA4581">
        <w:rPr>
          <w:b/>
          <w:color w:val="000000" w:themeColor="text1"/>
        </w:rPr>
        <w:t>:</w:t>
      </w:r>
    </w:p>
    <w:p w14:paraId="74D7FC95" w14:textId="77777777" w:rsidR="00DA4581" w:rsidRPr="00DA4581" w:rsidRDefault="00DA4581" w:rsidP="00DA4581">
      <w:pPr>
        <w:pStyle w:val="ListParagraph"/>
        <w:numPr>
          <w:ilvl w:val="0"/>
          <w:numId w:val="18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DA4581">
        <w:rPr>
          <w:rFonts w:eastAsia="MS Mincho"/>
          <w:b/>
          <w:color w:val="000000" w:themeColor="text1"/>
          <w:sz w:val="20"/>
          <w:szCs w:val="20"/>
          <w:lang w:val="en-GB"/>
        </w:rPr>
        <w:t>The number of measurement samples needed for filtering.</w:t>
      </w:r>
    </w:p>
    <w:p w14:paraId="1D01D41F" w14:textId="77777777" w:rsidR="00DA4581" w:rsidRPr="00DA4581" w:rsidRDefault="00DA4581" w:rsidP="00DA4581">
      <w:pPr>
        <w:pStyle w:val="ListParagraph"/>
        <w:numPr>
          <w:ilvl w:val="0"/>
          <w:numId w:val="18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DA4581">
        <w:rPr>
          <w:rFonts w:eastAsia="MS Mincho"/>
          <w:b/>
          <w:color w:val="000000" w:themeColor="text1"/>
          <w:sz w:val="20"/>
          <w:szCs w:val="20"/>
          <w:lang w:val="en-GB"/>
        </w:rPr>
        <w:t>The number of consecutive times the UE needs to meet the entry/exit criteria.</w:t>
      </w:r>
    </w:p>
    <w:p w14:paraId="7AC32938" w14:textId="6880AC7E" w:rsidR="00DA4581" w:rsidRDefault="00DA4581" w:rsidP="00DA4581">
      <w:pPr>
        <w:rPr>
          <w:bCs/>
          <w:color w:val="000000" w:themeColor="text1"/>
        </w:rPr>
      </w:pPr>
    </w:p>
    <w:p w14:paraId="5DF5049D" w14:textId="1F135AD5" w:rsidR="00DA4581" w:rsidRDefault="00FC0F84" w:rsidP="00DA4581">
      <w:pPr>
        <w:rPr>
          <w:bCs/>
          <w:color w:val="000000" w:themeColor="text1"/>
        </w:rPr>
      </w:pPr>
      <w:r>
        <w:rPr>
          <w:bCs/>
          <w:color w:val="000000" w:themeColor="text1"/>
        </w:rPr>
        <w:t>The next thing to consider is</w:t>
      </w:r>
      <w:r w:rsidR="00B5150C">
        <w:rPr>
          <w:bCs/>
          <w:color w:val="000000" w:themeColor="text1"/>
        </w:rPr>
        <w:t xml:space="preserve"> the serving cell criteria evaluation. </w:t>
      </w:r>
      <w:r w:rsidR="00E719CC">
        <w:rPr>
          <w:bCs/>
          <w:color w:val="000000" w:themeColor="text1"/>
        </w:rPr>
        <w:t>While the UE is m</w:t>
      </w:r>
      <w:r w:rsidR="00B5150C">
        <w:rPr>
          <w:bCs/>
          <w:color w:val="000000" w:themeColor="text1"/>
        </w:rPr>
        <w:t xml:space="preserve">onitoring POs on the </w:t>
      </w:r>
      <w:r w:rsidR="00E719CC">
        <w:rPr>
          <w:bCs/>
          <w:color w:val="000000" w:themeColor="text1"/>
        </w:rPr>
        <w:t xml:space="preserve">WUR, </w:t>
      </w:r>
      <w:r w:rsidR="00CA2976">
        <w:rPr>
          <w:bCs/>
          <w:color w:val="000000" w:themeColor="text1"/>
        </w:rPr>
        <w:t xml:space="preserve">the cell-reselection </w:t>
      </w:r>
      <w:r w:rsidR="009660E8">
        <w:rPr>
          <w:bCs/>
          <w:color w:val="000000" w:themeColor="text1"/>
        </w:rPr>
        <w:t xml:space="preserve">requirements shall still me met. This means that the UE needs to perform the serving cell as well as </w:t>
      </w:r>
      <w:r w:rsidR="008C2045">
        <w:rPr>
          <w:bCs/>
          <w:color w:val="000000" w:themeColor="text1"/>
        </w:rPr>
        <w:t>neighbour</w:t>
      </w:r>
      <w:r w:rsidR="009660E8">
        <w:rPr>
          <w:bCs/>
          <w:color w:val="000000" w:themeColor="text1"/>
        </w:rPr>
        <w:t xml:space="preserve"> cell (intra-frequency and inter-frequency)</w:t>
      </w:r>
      <w:r w:rsidR="008C2045">
        <w:rPr>
          <w:bCs/>
          <w:color w:val="000000" w:themeColor="text1"/>
        </w:rPr>
        <w:t xml:space="preserve"> measurements and evaluation.</w:t>
      </w:r>
      <w:r w:rsidR="002820DA">
        <w:rPr>
          <w:bCs/>
          <w:color w:val="000000" w:themeColor="text1"/>
        </w:rPr>
        <w:t xml:space="preserve"> If the WUR and MR operates on the same frequency, the WUR can</w:t>
      </w:r>
      <w:r w:rsidR="00A0427F">
        <w:rPr>
          <w:bCs/>
          <w:color w:val="000000" w:themeColor="text1"/>
        </w:rPr>
        <w:t>,</w:t>
      </w:r>
      <w:r w:rsidR="002820DA">
        <w:rPr>
          <w:bCs/>
          <w:color w:val="000000" w:themeColor="text1"/>
        </w:rPr>
        <w:t xml:space="preserve"> </w:t>
      </w:r>
      <w:r w:rsidR="00334155">
        <w:rPr>
          <w:bCs/>
          <w:color w:val="000000" w:themeColor="text1"/>
        </w:rPr>
        <w:t xml:space="preserve">at-least in theory, </w:t>
      </w:r>
      <w:r w:rsidR="002820DA">
        <w:rPr>
          <w:bCs/>
          <w:color w:val="000000" w:themeColor="text1"/>
        </w:rPr>
        <w:t xml:space="preserve">perform the </w:t>
      </w:r>
      <w:r w:rsidR="00334155">
        <w:rPr>
          <w:bCs/>
          <w:color w:val="000000" w:themeColor="text1"/>
        </w:rPr>
        <w:t xml:space="preserve">serving cell measurements. </w:t>
      </w:r>
      <w:r w:rsidR="00505B39">
        <w:rPr>
          <w:bCs/>
          <w:color w:val="000000" w:themeColor="text1"/>
        </w:rPr>
        <w:t>From RAN4 pers</w:t>
      </w:r>
      <w:r w:rsidR="00892468">
        <w:rPr>
          <w:bCs/>
          <w:color w:val="000000" w:themeColor="text1"/>
        </w:rPr>
        <w:t>pective, RRM measurements offloading on the serving cell is feasible only when the WUR and MR operates on the same carrier frequency.</w:t>
      </w:r>
    </w:p>
    <w:p w14:paraId="18407E2A" w14:textId="44715267" w:rsidR="00FB56A4" w:rsidRDefault="00F71477" w:rsidP="00360F01">
      <w:pPr>
        <w:rPr>
          <w:b/>
          <w:color w:val="000000" w:themeColor="text1"/>
        </w:rPr>
      </w:pPr>
      <w:r w:rsidRPr="00DA4581">
        <w:rPr>
          <w:b/>
          <w:color w:val="000000" w:themeColor="text1"/>
        </w:rPr>
        <w:t>Proposal</w:t>
      </w:r>
      <w:r w:rsidR="0027224B">
        <w:rPr>
          <w:b/>
          <w:color w:val="000000" w:themeColor="text1"/>
        </w:rPr>
        <w:t xml:space="preserve"> 2</w:t>
      </w:r>
      <w:r w:rsidRPr="00DA4581">
        <w:rPr>
          <w:b/>
          <w:color w:val="000000" w:themeColor="text1"/>
        </w:rPr>
        <w:t>:</w:t>
      </w:r>
      <w:r w:rsidR="0027224B">
        <w:rPr>
          <w:b/>
          <w:color w:val="000000" w:themeColor="text1"/>
        </w:rPr>
        <w:t xml:space="preserve"> RAN4 to specify RRM core requirements for serving cell measurem</w:t>
      </w:r>
      <w:r w:rsidR="001E187A">
        <w:rPr>
          <w:b/>
          <w:color w:val="000000" w:themeColor="text1"/>
        </w:rPr>
        <w:t>ent offloading to the WUR only for the case when WUR and MR are operating on the same carrier frequency.</w:t>
      </w:r>
      <w:r w:rsidRPr="00DA4581">
        <w:rPr>
          <w:b/>
          <w:color w:val="000000" w:themeColor="text1"/>
        </w:rPr>
        <w:t xml:space="preserve"> </w:t>
      </w:r>
    </w:p>
    <w:p w14:paraId="4F53B373" w14:textId="4F1C0B08" w:rsidR="00160732" w:rsidRDefault="00187F36" w:rsidP="00360F01">
      <w:pPr>
        <w:rPr>
          <w:bCs/>
          <w:color w:val="000000" w:themeColor="text1"/>
        </w:rPr>
      </w:pPr>
      <w:r>
        <w:rPr>
          <w:bCs/>
          <w:color w:val="000000" w:themeColor="text1"/>
        </w:rPr>
        <w:t>RAN4 should also discuss whether the serving cell reselection criteria evaluation is also performed by the WUR</w:t>
      </w:r>
      <w:r w:rsidR="00B27D76">
        <w:rPr>
          <w:bCs/>
          <w:color w:val="000000" w:themeColor="text1"/>
        </w:rPr>
        <w:t xml:space="preserve">. In some sense. In other words, is it safe to assume that serving cell </w:t>
      </w:r>
      <w:r w:rsidR="00B27A86">
        <w:rPr>
          <w:bCs/>
          <w:color w:val="000000" w:themeColor="text1"/>
        </w:rPr>
        <w:t>selection criteria is met while the WUR is monitoring PO</w:t>
      </w:r>
      <w:r w:rsidR="00577D79">
        <w:rPr>
          <w:bCs/>
          <w:color w:val="000000" w:themeColor="text1"/>
        </w:rPr>
        <w:t xml:space="preserve"> (or the WUR entry criteria is met and exit criteria is not met)? </w:t>
      </w:r>
    </w:p>
    <w:p w14:paraId="7A98C740" w14:textId="4E39BE25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7BDD8B7E" w14:textId="77777777" w:rsidR="002973BD" w:rsidRPr="00DA4581" w:rsidRDefault="002973BD" w:rsidP="002973BD">
      <w:pPr>
        <w:rPr>
          <w:b/>
          <w:color w:val="000000" w:themeColor="text1"/>
        </w:rPr>
      </w:pPr>
      <w:r w:rsidRPr="00DA4581">
        <w:rPr>
          <w:b/>
          <w:color w:val="000000" w:themeColor="text1"/>
        </w:rPr>
        <w:t>Proposal 1: RAN4 specifies the following for entry/exit criteria evaluation</w:t>
      </w:r>
      <w:r>
        <w:rPr>
          <w:b/>
          <w:color w:val="000000" w:themeColor="text1"/>
        </w:rPr>
        <w:t xml:space="preserve"> for WUS paging monitoring</w:t>
      </w:r>
      <w:r w:rsidRPr="00DA4581">
        <w:rPr>
          <w:b/>
          <w:color w:val="000000" w:themeColor="text1"/>
        </w:rPr>
        <w:t>:</w:t>
      </w:r>
    </w:p>
    <w:p w14:paraId="7D3D59C7" w14:textId="77777777" w:rsidR="002973BD" w:rsidRPr="00DA4581" w:rsidRDefault="002973BD" w:rsidP="002973BD">
      <w:pPr>
        <w:pStyle w:val="ListParagraph"/>
        <w:numPr>
          <w:ilvl w:val="0"/>
          <w:numId w:val="19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DA4581">
        <w:rPr>
          <w:rFonts w:eastAsia="MS Mincho"/>
          <w:b/>
          <w:color w:val="000000" w:themeColor="text1"/>
          <w:sz w:val="20"/>
          <w:szCs w:val="20"/>
          <w:lang w:val="en-GB"/>
        </w:rPr>
        <w:t>The number of measurement samples needed for filtering.</w:t>
      </w:r>
    </w:p>
    <w:p w14:paraId="35AA34FC" w14:textId="77777777" w:rsidR="002973BD" w:rsidRPr="00DA4581" w:rsidRDefault="002973BD" w:rsidP="002973BD">
      <w:pPr>
        <w:pStyle w:val="ListParagraph"/>
        <w:numPr>
          <w:ilvl w:val="0"/>
          <w:numId w:val="19"/>
        </w:numPr>
        <w:rPr>
          <w:rFonts w:eastAsia="MS Mincho"/>
          <w:b/>
          <w:color w:val="000000" w:themeColor="text1"/>
          <w:sz w:val="20"/>
          <w:szCs w:val="20"/>
          <w:lang w:val="en-GB"/>
        </w:rPr>
      </w:pPr>
      <w:r w:rsidRPr="00DA4581">
        <w:rPr>
          <w:rFonts w:eastAsia="MS Mincho"/>
          <w:b/>
          <w:color w:val="000000" w:themeColor="text1"/>
          <w:sz w:val="20"/>
          <w:szCs w:val="20"/>
          <w:lang w:val="en-GB"/>
        </w:rPr>
        <w:t>The number of consecutive times the UE needs to meet the entry/exit criteria.</w:t>
      </w:r>
    </w:p>
    <w:p w14:paraId="725B1517" w14:textId="77777777" w:rsidR="002973BD" w:rsidRDefault="002973BD" w:rsidP="002973BD">
      <w:pPr>
        <w:rPr>
          <w:b/>
          <w:color w:val="000000" w:themeColor="text1"/>
        </w:rPr>
      </w:pPr>
    </w:p>
    <w:p w14:paraId="19998C2B" w14:textId="5F5F9EC7" w:rsidR="002973BD" w:rsidRPr="002973BD" w:rsidRDefault="002973BD" w:rsidP="002973BD">
      <w:pPr>
        <w:rPr>
          <w:bCs/>
          <w:color w:val="000000" w:themeColor="text1"/>
        </w:rPr>
      </w:pPr>
      <w:r w:rsidRPr="00DA4581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2</w:t>
      </w:r>
      <w:r w:rsidRPr="00DA4581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RAN4 to specify RRM core requirements for serving cell measurement offloading to the WUR only for the case when WUR and MR are operating on the same carrier frequency.</w:t>
      </w:r>
      <w:r w:rsidRPr="00DA4581">
        <w:rPr>
          <w:b/>
          <w:color w:val="000000" w:themeColor="text1"/>
        </w:rPr>
        <w:t xml:space="preserve"> 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5A2B97F0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RP-240801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7B0422" w:rsidRPr="007B0422">
        <w:rPr>
          <w:lang w:val="en-US"/>
        </w:rPr>
        <w:t>Revised WID Low-power wake-up signal and receiver for NR (LP-WUS_WUR)</w:t>
      </w:r>
      <w:r w:rsidR="007B0422">
        <w:rPr>
          <w:lang w:val="en-US"/>
        </w:rPr>
        <w:t xml:space="preserve">”, vivo, </w:t>
      </w:r>
      <w:r w:rsidR="00261792" w:rsidRPr="00261792">
        <w:rPr>
          <w:lang w:val="en-US"/>
        </w:rPr>
        <w:t>RAN#103</w:t>
      </w:r>
    </w:p>
    <w:p w14:paraId="54C60DDB" w14:textId="1634E61B" w:rsidR="001752C8" w:rsidRDefault="001752C8" w:rsidP="001752C8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="00EF6A75" w:rsidRPr="00EF6A75">
        <w:rPr>
          <w:lang w:val="en-US"/>
        </w:rPr>
        <w:t>R4-2406367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796210" w:rsidRPr="00796210">
        <w:rPr>
          <w:lang w:val="en-US"/>
        </w:rPr>
        <w:t>WF for RRM requirements for LP-WUSWUR</w:t>
      </w:r>
      <w:r>
        <w:rPr>
          <w:lang w:val="en-US"/>
        </w:rPr>
        <w:t xml:space="preserve">”, vivo, </w:t>
      </w:r>
      <w:r w:rsidRPr="00261792">
        <w:rPr>
          <w:lang w:val="en-US"/>
        </w:rPr>
        <w:t>RAN</w:t>
      </w:r>
      <w:r w:rsidR="005A3500">
        <w:rPr>
          <w:lang w:val="en-US"/>
        </w:rPr>
        <w:t>4</w:t>
      </w:r>
      <w:r w:rsidRPr="00261792">
        <w:rPr>
          <w:lang w:val="en-US"/>
        </w:rPr>
        <w:t>#1</w:t>
      </w:r>
      <w:r w:rsidR="005A3500">
        <w:rPr>
          <w:lang w:val="en-US"/>
        </w:rPr>
        <w:t>10bis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1DBD1" w14:textId="77777777" w:rsidR="00742DBF" w:rsidRDefault="00742DBF">
      <w:r>
        <w:separator/>
      </w:r>
    </w:p>
  </w:endnote>
  <w:endnote w:type="continuationSeparator" w:id="0">
    <w:p w14:paraId="4E0C3099" w14:textId="77777777" w:rsidR="00742DBF" w:rsidRDefault="00742DBF">
      <w:r>
        <w:continuationSeparator/>
      </w:r>
    </w:p>
  </w:endnote>
  <w:endnote w:type="continuationNotice" w:id="1">
    <w:p w14:paraId="60D2976F" w14:textId="77777777" w:rsidR="00742DBF" w:rsidRDefault="00742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8469" w14:textId="77777777" w:rsidR="00742DBF" w:rsidRDefault="00742DBF">
      <w:r>
        <w:separator/>
      </w:r>
    </w:p>
  </w:footnote>
  <w:footnote w:type="continuationSeparator" w:id="0">
    <w:p w14:paraId="6CCBDDD6" w14:textId="77777777" w:rsidR="00742DBF" w:rsidRDefault="00742DBF">
      <w:r>
        <w:continuationSeparator/>
      </w:r>
    </w:p>
  </w:footnote>
  <w:footnote w:type="continuationNotice" w:id="1">
    <w:p w14:paraId="7C4A07EB" w14:textId="77777777" w:rsidR="00742DBF" w:rsidRDefault="00742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8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5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7"/>
  </w:num>
  <w:num w:numId="2" w16cid:durableId="1702169165">
    <w:abstractNumId w:val="13"/>
  </w:num>
  <w:num w:numId="3" w16cid:durableId="896598194">
    <w:abstractNumId w:val="18"/>
  </w:num>
  <w:num w:numId="4" w16cid:durableId="1065757783">
    <w:abstractNumId w:val="4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14"/>
  </w:num>
  <w:num w:numId="8" w16cid:durableId="1230581766">
    <w:abstractNumId w:val="9"/>
  </w:num>
  <w:num w:numId="9" w16cid:durableId="266666612">
    <w:abstractNumId w:val="10"/>
  </w:num>
  <w:num w:numId="10" w16cid:durableId="1603030076">
    <w:abstractNumId w:val="11"/>
  </w:num>
  <w:num w:numId="11" w16cid:durableId="472792961">
    <w:abstractNumId w:val="12"/>
  </w:num>
  <w:num w:numId="12" w16cid:durableId="1585843583">
    <w:abstractNumId w:val="0"/>
  </w:num>
  <w:num w:numId="13" w16cid:durableId="1922985393">
    <w:abstractNumId w:val="17"/>
  </w:num>
  <w:num w:numId="14" w16cid:durableId="1941915425">
    <w:abstractNumId w:val="16"/>
  </w:num>
  <w:num w:numId="15" w16cid:durableId="524372425">
    <w:abstractNumId w:val="3"/>
  </w:num>
  <w:num w:numId="16" w16cid:durableId="1433237244">
    <w:abstractNumId w:val="15"/>
  </w:num>
  <w:num w:numId="17" w16cid:durableId="12735130">
    <w:abstractNumId w:val="6"/>
  </w:num>
  <w:num w:numId="18" w16cid:durableId="1022626817">
    <w:abstractNumId w:val="5"/>
  </w:num>
  <w:num w:numId="19" w16cid:durableId="15985008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A98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17097</TotalTime>
  <Pages>3</Pages>
  <Words>1005</Words>
  <Characters>5539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2357</cp:revision>
  <cp:lastPrinted>2009-04-22T21:01:00Z</cp:lastPrinted>
  <dcterms:created xsi:type="dcterms:W3CDTF">2020-11-11T22:16:00Z</dcterms:created>
  <dcterms:modified xsi:type="dcterms:W3CDTF">2024-05-13T07:32:00Z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